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B8A11" w14:textId="774E4D91" w:rsidR="00E41BAE" w:rsidRPr="00007D46" w:rsidRDefault="00BC1103">
      <w:r>
        <w:t>26 juin 2020</w:t>
      </w:r>
    </w:p>
    <w:p w14:paraId="3AB89DA2" w14:textId="77777777" w:rsidR="004D0CE1" w:rsidRDefault="004D0CE1" w:rsidP="004D0CE1">
      <w:pPr>
        <w:tabs>
          <w:tab w:val="center" w:pos="4680"/>
        </w:tabs>
      </w:pPr>
      <w:bookmarkStart w:id="0" w:name="_Hlk42093728"/>
      <w:r>
        <w:t>Le [Date]</w:t>
      </w:r>
      <w:r>
        <w:tab/>
      </w:r>
    </w:p>
    <w:bookmarkEnd w:id="0"/>
    <w:p w14:paraId="0622E070" w14:textId="63B5877F" w:rsidR="00785345" w:rsidRDefault="00684FC9" w:rsidP="00785345">
      <w:r>
        <w:t>Chère cliente, Cher client,</w:t>
      </w:r>
    </w:p>
    <w:p w14:paraId="0308DA12" w14:textId="77777777" w:rsidR="00785345" w:rsidRDefault="00785345" w:rsidP="00785345">
      <w:r>
        <w:t>J’espère que vous vous portez bien. Vous trouverez ci-dessous un résumé des activités sur les marchés de cette semaine, ainsi que certaines perspectives connexes.</w:t>
      </w:r>
    </w:p>
    <w:p w14:paraId="05A28C8E" w14:textId="77777777" w:rsidR="00785345" w:rsidRDefault="00785345" w:rsidP="00785345">
      <w:pPr>
        <w:rPr>
          <w:b/>
          <w:bCs/>
        </w:rPr>
      </w:pPr>
      <w:bookmarkStart w:id="1" w:name="_Hlk37920924"/>
      <w:r>
        <w:rPr>
          <w:b/>
          <w:bCs/>
        </w:rPr>
        <w:t>Principaux événements survenus sur les marchés</w:t>
      </w:r>
    </w:p>
    <w:p w14:paraId="47F6D6EA" w14:textId="35FBFE57" w:rsidR="00785345" w:rsidRDefault="00785345" w:rsidP="00785345">
      <w:pPr>
        <w:pStyle w:val="ListParagraph"/>
        <w:numPr>
          <w:ilvl w:val="0"/>
          <w:numId w:val="1"/>
        </w:numPr>
        <w:spacing w:line="256" w:lineRule="auto"/>
      </w:pPr>
      <w:bookmarkStart w:id="2" w:name="_Hlk41564896"/>
      <w:r>
        <w:t xml:space="preserve">Les marchés boursiers nord-américains se sont </w:t>
      </w:r>
      <w:r w:rsidR="00BD75BA">
        <w:t xml:space="preserve">avérés volatils </w:t>
      </w:r>
      <w:r>
        <w:t xml:space="preserve">cette semaine en </w:t>
      </w:r>
      <w:r w:rsidR="006B23A8">
        <w:t xml:space="preserve">réaction </w:t>
      </w:r>
      <w:r w:rsidR="006B23A8" w:rsidRPr="006B23A8">
        <w:t xml:space="preserve">à la progression </w:t>
      </w:r>
      <w:r>
        <w:t xml:space="preserve">du nombre de personnes infectées par la COVID-19 dans 27 États et </w:t>
      </w:r>
      <w:r w:rsidR="006B23A8">
        <w:t xml:space="preserve">aux </w:t>
      </w:r>
      <w:r>
        <w:t>craintes de nouvelles restrictions de confinement et d</w:t>
      </w:r>
      <w:r w:rsidR="00977213">
        <w:t>’</w:t>
      </w:r>
      <w:r>
        <w:t xml:space="preserve">une baisse de l’activité économique. En </w:t>
      </w:r>
      <w:r w:rsidR="006B23A8">
        <w:t>particulier</w:t>
      </w:r>
      <w:r>
        <w:t>, le nombre de cas a continué de grimper en flèche en Floride, au Texas, en Arizona et en Californie.</w:t>
      </w:r>
    </w:p>
    <w:p w14:paraId="639FA9BC" w14:textId="77777777" w:rsidR="00785345" w:rsidRDefault="00785345" w:rsidP="00785345">
      <w:pPr>
        <w:pStyle w:val="ListParagraph"/>
        <w:numPr>
          <w:ilvl w:val="0"/>
          <w:numId w:val="1"/>
        </w:numPr>
        <w:spacing w:line="256" w:lineRule="auto"/>
      </w:pPr>
      <w:bookmarkStart w:id="3" w:name="_Hlk37920948"/>
      <w:bookmarkEnd w:id="1"/>
      <w:r>
        <w:t>Le Fonds monétaire international (FMI) prévoit maintenant que la production économique mondiale se contractera de 4,9 % en 2020, la production américaine diminuera de 8,0 % et celle du Canada de 8,4 %.</w:t>
      </w:r>
    </w:p>
    <w:p w14:paraId="7F3F80F0" w14:textId="6072EBE7" w:rsidR="00785345" w:rsidRDefault="00785345" w:rsidP="00785345">
      <w:pPr>
        <w:pStyle w:val="ListParagraph"/>
        <w:numPr>
          <w:ilvl w:val="0"/>
          <w:numId w:val="1"/>
        </w:numPr>
        <w:spacing w:line="256" w:lineRule="auto"/>
      </w:pPr>
      <w:r>
        <w:t>L</w:t>
      </w:r>
      <w:r w:rsidR="00977213">
        <w:t>’</w:t>
      </w:r>
      <w:r>
        <w:t xml:space="preserve">agence de </w:t>
      </w:r>
      <w:r w:rsidR="00372888">
        <w:t>notation</w:t>
      </w:r>
      <w:r>
        <w:t xml:space="preserve"> Fitch Ratings a </w:t>
      </w:r>
      <w:r w:rsidR="00372888">
        <w:t>a</w:t>
      </w:r>
      <w:r>
        <w:t>baiss</w:t>
      </w:r>
      <w:r w:rsidR="00372888">
        <w:t>é</w:t>
      </w:r>
      <w:r>
        <w:t xml:space="preserve"> la </w:t>
      </w:r>
      <w:r w:rsidR="00372888">
        <w:t xml:space="preserve">note </w:t>
      </w:r>
      <w:r>
        <w:t>de crédit du Canada</w:t>
      </w:r>
      <w:r w:rsidR="000C2D9E">
        <w:t>, qui passe</w:t>
      </w:r>
      <w:r>
        <w:t xml:space="preserve"> de « AAA » à « AA+ »</w:t>
      </w:r>
      <w:r w:rsidR="000C2D9E">
        <w:t>,</w:t>
      </w:r>
      <w:r>
        <w:t xml:space="preserve"> é</w:t>
      </w:r>
      <w:r w:rsidR="00372888">
        <w:t>voquant</w:t>
      </w:r>
      <w:r>
        <w:t xml:space="preserve"> la détérioration des finances publiques en raison de la COVID-19. </w:t>
      </w:r>
    </w:p>
    <w:p w14:paraId="424269C1" w14:textId="557EACC7" w:rsidR="00785345" w:rsidRDefault="00785345" w:rsidP="00785345">
      <w:pPr>
        <w:pStyle w:val="ListParagraph"/>
        <w:numPr>
          <w:ilvl w:val="0"/>
          <w:numId w:val="1"/>
        </w:numPr>
        <w:spacing w:line="256" w:lineRule="auto"/>
      </w:pPr>
      <w:r>
        <w:t xml:space="preserve">Le nouveau gouverneur de la Banque du Canada, Tiff </w:t>
      </w:r>
      <w:proofErr w:type="spellStart"/>
      <w:r>
        <w:t>Macklem</w:t>
      </w:r>
      <w:proofErr w:type="spellEnd"/>
      <w:r>
        <w:t xml:space="preserve">, a déclaré que l’économie canadienne mettrait beaucoup de temps à se remettre complètement des périodes de confinement, ce qui obligerait la </w:t>
      </w:r>
      <w:r w:rsidR="00BD75BA">
        <w:t>b</w:t>
      </w:r>
      <w:r>
        <w:t>anque centrale à continuer d’acheter des obligations d’État pour maintenir de manière indéfinie les taux d’intérêt à un faible niveau.</w:t>
      </w:r>
    </w:p>
    <w:p w14:paraId="08DFE09E" w14:textId="6F0AB3CA" w:rsidR="00785345" w:rsidRDefault="00785345" w:rsidP="00785345">
      <w:pPr>
        <w:pStyle w:val="ListParagraph"/>
        <w:numPr>
          <w:ilvl w:val="0"/>
          <w:numId w:val="1"/>
        </w:numPr>
      </w:pPr>
      <w:r>
        <w:t xml:space="preserve">Le président Donald Trump a déclaré qu’un deuxième projet de loi de relance était en cours et devrait être annoncé dans les prochaines semaines. Le nombre de demandes hebdomadaires d’indemnités de chômage aux États-Unis s’est établi à 1,48 million et le produit intérieur brut (PIB) réel </w:t>
      </w:r>
      <w:r w:rsidR="00146DD8" w:rsidRPr="00146DD8">
        <w:t>s</w:t>
      </w:r>
      <w:r w:rsidR="005111BB">
        <w:t>’</w:t>
      </w:r>
      <w:r w:rsidR="00146DD8" w:rsidRPr="00146DD8">
        <w:t>est contracté</w:t>
      </w:r>
      <w:r>
        <w:t xml:space="preserve"> à un taux annuel de 5,0 % au premier trimestre de 2020.</w:t>
      </w:r>
    </w:p>
    <w:bookmarkEnd w:id="2"/>
    <w:bookmarkEnd w:id="3"/>
    <w:p w14:paraId="0FB8B62A" w14:textId="77777777" w:rsidR="00785345" w:rsidRDefault="00785345" w:rsidP="00785345">
      <w:pPr>
        <w:rPr>
          <w:b/>
          <w:bCs/>
        </w:rPr>
      </w:pPr>
      <w:r>
        <w:rPr>
          <w:b/>
          <w:bCs/>
        </w:rPr>
        <w:t xml:space="preserve">Quel impact ces événements ont-ils sur vos placements? </w:t>
      </w:r>
    </w:p>
    <w:p w14:paraId="3C31158A" w14:textId="670D386B" w:rsidR="00785345" w:rsidRDefault="00785345" w:rsidP="00785345">
      <w:r>
        <w:t xml:space="preserve">Une recrudescence de cas aux États-Unis a amené les investisseurs à examiner </w:t>
      </w:r>
      <w:r w:rsidR="00146DD8">
        <w:t xml:space="preserve">l’incidence </w:t>
      </w:r>
      <w:r>
        <w:t xml:space="preserve">d’une deuxième vague de confinement, ce que nombreux espéraient ne </w:t>
      </w:r>
      <w:r w:rsidR="00BD75BA">
        <w:t xml:space="preserve">serait </w:t>
      </w:r>
      <w:r>
        <w:t xml:space="preserve">pas </w:t>
      </w:r>
      <w:r w:rsidR="00BD75BA">
        <w:t xml:space="preserve">nécessaire </w:t>
      </w:r>
      <w:r>
        <w:t xml:space="preserve">à l’avenir. Alors que les prévisions économiques continuent </w:t>
      </w:r>
      <w:r w:rsidR="000C2D9E">
        <w:t xml:space="preserve">de refléter </w:t>
      </w:r>
      <w:r>
        <w:t xml:space="preserve">les répercussions négatives de la pandémie, il est compréhensible que le sentiment </w:t>
      </w:r>
      <w:r w:rsidR="00487FB7">
        <w:t>puisse devenir pessimiste à court terme.</w:t>
      </w:r>
      <w:r>
        <w:t xml:space="preserve"> </w:t>
      </w:r>
    </w:p>
    <w:p w14:paraId="23EB97CF" w14:textId="0B23A3CA" w:rsidR="00785345" w:rsidRDefault="00785345" w:rsidP="00785345">
      <w:r>
        <w:t>Cela dit, notre décision de nous en tenir à notre plan à long terme même lorsque les marchés avaient atteint leur plus bas niveau en mars s’est finalement avérée prudente et, selon moi, nous devons continuer à faire de même, même lorsque le sentiment</w:t>
      </w:r>
      <w:r w:rsidR="005111BB">
        <w:t xml:space="preserve"> semble</w:t>
      </w:r>
      <w:r>
        <w:t xml:space="preserve"> changer. Le graphique ci-dessous sert à illustrer ce point, et montre que, souvent, lorsque les investisseurs se montrent de plus en plus pessimistes, les marchés pourraient être positionnés pour </w:t>
      </w:r>
      <w:r w:rsidR="005111BB">
        <w:t xml:space="preserve">se </w:t>
      </w:r>
      <w:r>
        <w:t xml:space="preserve">comporter de façon inverse. </w:t>
      </w:r>
    </w:p>
    <w:p w14:paraId="4A09CC25" w14:textId="77777777" w:rsidR="00CA2A65" w:rsidRDefault="00CA2A65" w:rsidP="00785345"/>
    <w:p w14:paraId="74E97477" w14:textId="77777777" w:rsidR="00CA2A65" w:rsidRDefault="00CA2A65" w:rsidP="00785345"/>
    <w:p w14:paraId="3B25EEF2" w14:textId="77777777" w:rsidR="00CA2A65" w:rsidRDefault="00CA2A65" w:rsidP="00785345"/>
    <w:p w14:paraId="455C8808" w14:textId="296694C7" w:rsidR="00785345" w:rsidRDefault="00785345" w:rsidP="00785345"/>
    <w:p w14:paraId="5F6669D6" w14:textId="77777777" w:rsidR="00785345" w:rsidRDefault="00785345" w:rsidP="00785345"/>
    <w:p w14:paraId="09DB87C8" w14:textId="77777777" w:rsidR="00785345" w:rsidRDefault="00785345" w:rsidP="00785345">
      <w:r>
        <w:rPr>
          <w:noProof/>
          <w:lang w:val="en-US"/>
        </w:rPr>
        <mc:AlternateContent>
          <mc:Choice Requires="wps">
            <w:drawing>
              <wp:anchor distT="0" distB="0" distL="114300" distR="114300" simplePos="0" relativeHeight="251659264" behindDoc="0" locked="0" layoutInCell="1" allowOverlap="1" wp14:anchorId="0660315C" wp14:editId="33524734">
                <wp:simplePos x="0" y="0"/>
                <wp:positionH relativeFrom="column">
                  <wp:posOffset>-675249</wp:posOffset>
                </wp:positionH>
                <wp:positionV relativeFrom="paragraph">
                  <wp:posOffset>-513471</wp:posOffset>
                </wp:positionV>
                <wp:extent cx="7399313" cy="4283613"/>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7399313" cy="4283613"/>
                        </a:xfrm>
                        <a:prstGeom prst="rect">
                          <a:avLst/>
                        </a:prstGeom>
                        <a:noFill/>
                        <a:ln w="6350">
                          <a:noFill/>
                        </a:ln>
                      </wps:spPr>
                      <wps:txbx>
                        <w:txbxContent>
                          <w:p w14:paraId="3E8549CF" w14:textId="77777777" w:rsidR="00785345" w:rsidRDefault="00785345" w:rsidP="00785345">
                            <w:pPr>
                              <w:jc w:val="center"/>
                            </w:pPr>
                            <w:r>
                              <w:rPr>
                                <w:noProof/>
                                <w:lang w:val="en-US"/>
                              </w:rPr>
                              <w:drawing>
                                <wp:inline distT="0" distB="0" distL="0" distR="0" wp14:anchorId="6E2E4D22" wp14:editId="5F655EDB">
                                  <wp:extent cx="6886255" cy="3384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etVolatilityChartPackQ12020INV3_012.png"/>
                                          <pic:cNvPicPr/>
                                        </pic:nvPicPr>
                                        <pic:blipFill rotWithShape="1">
                                          <a:blip r:embed="rId12">
                                            <a:extLst>
                                              <a:ext uri="{28A0092B-C50C-407E-A947-70E740481C1C}">
                                                <a14:useLocalDpi xmlns:a14="http://schemas.microsoft.com/office/drawing/2010/main" val="0"/>
                                              </a:ext>
                                            </a:extLst>
                                          </a:blip>
                                          <a:srcRect l="3661" t="7128" r="8208" b="15866"/>
                                          <a:stretch/>
                                        </pic:blipFill>
                                        <pic:spPr bwMode="auto">
                                          <a:xfrm>
                                            <a:off x="0" y="0"/>
                                            <a:ext cx="6894719" cy="338871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60315C" id="_x0000_t202" coordsize="21600,21600" o:spt="202" path="m,l,21600r21600,l21600,xe">
                <v:stroke joinstyle="miter"/>
                <v:path gradientshapeok="t" o:connecttype="rect"/>
              </v:shapetype>
              <v:shape id="Text Box 1" o:spid="_x0000_s1026" type="#_x0000_t202" style="position:absolute;margin-left:-53.15pt;margin-top:-40.45pt;width:582.6pt;height:33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jyLQIAAFIEAAAOAAAAZHJzL2Uyb0RvYy54bWysVE1vGjEQvVfqf7B8L8tXSFixRDQRVaUo&#10;iQRVzsZrsyvZHtc27NJf37F3ISjtqerFzNfOeN57ZnHfakWOwvkaTEFHgyElwnAoa7Mv6I/t+ssd&#10;JT4wUzIFRhT0JDy9X37+tGhsLsZQgSqFI9jE+LyxBa1CsHmWeV4JzfwArDCYlOA0C+i6fVY61mB3&#10;rbLxcDjLGnCldcCF9xh97JJ0mfpLKXh4kdKLQFRB8W4hnS6du3hmywXL947Zqub9Ndg/3EKz2uDQ&#10;S6tHFhg5uPqPVrrmDjzIMOCgM5Cy5iLtgNuMhh+22VTMirQLguPtBSb//9ry5+OrI3WJ3FFimEaK&#10;tqIN5Cu0ZBTRaazPsWhjsSy0GI6VfdxjMC7dSqfjL65DMI84ny7YxmYcg7eT+XwymlDCMTcd301m&#10;6GCf7P1z63z4JkCTaBTUIXkJU3Z88qErPZfEaQbWtVIYZ7kypCnobHIzTB9cMthcGZwRl+guG63Q&#10;7tp+gx2UJ1zMQScMb/m6xuFPzIdX5lAJuAuqO7zgIRXgEOgtSipwv/4Wj/VIEGYpaVBZBfU/D8wJ&#10;StR3g9TNR9NplGJypje3Y3TcdWZ3nTEH/QAoXqQHb5fMWB/U2ZQO9Bs+glWciilmOM4uaDibD6HT&#10;Oz4iLlarVITisyw8mY3lsXXEMEK7bd+Ysz3+Aal7hrMGWf6Bhq62I2J1CCDrxFEEuEO1xx2Fm1ju&#10;H1l8Gdd+qnr/K1j+BgAA//8DAFBLAwQUAAYACAAAACEABoJUQeMAAAANAQAADwAAAGRycy9kb3du&#10;cmV2LnhtbEyPTU/CQBCG7yb+h82YeINdIMVSuyWkCTExegC5eNt2h7ZxP2p3geqvdzjh7Z3Mk3ee&#10;ydejNeyMQ+i8kzCbCmDoaq8710g4fGwnKbAQldPKeIcSfjDAuri/y1Wm/cXt8LyPDaMSFzIloY2x&#10;zzgPdYtWhanv0dHu6AerIo1Dw/WgLlRuDZ8LseRWdY4utKrHssX6a3+yEl7L7bvaVXOb/pry5e24&#10;6b8Pn4mUjw/j5hlYxDHeYLjqkzoU5FT5k9OBGQmTmVguiKWUihWwKyKSlFIlIVktnoAXOf//RfEH&#10;AAD//wMAUEsBAi0AFAAGAAgAAAAhALaDOJL+AAAA4QEAABMAAAAAAAAAAAAAAAAAAAAAAFtDb250&#10;ZW50X1R5cGVzXS54bWxQSwECLQAUAAYACAAAACEAOP0h/9YAAACUAQAACwAAAAAAAAAAAAAAAAAv&#10;AQAAX3JlbHMvLnJlbHNQSwECLQAUAAYACAAAACEAyT+Y8i0CAABSBAAADgAAAAAAAAAAAAAAAAAu&#10;AgAAZHJzL2Uyb0RvYy54bWxQSwECLQAUAAYACAAAACEABoJUQeMAAAANAQAADwAAAAAAAAAAAAAA&#10;AACHBAAAZHJzL2Rvd25yZXYueG1sUEsFBgAAAAAEAAQA8wAAAJcFAAAAAA==&#10;" filled="f" stroked="f" strokeweight=".5pt">
                <v:textbox>
                  <w:txbxContent>
                    <w:p w14:paraId="3E8549CF" w14:textId="77777777" w:rsidR="00785345" w:rsidRDefault="00785345" w:rsidP="00785345">
                      <w:pPr>
                        <w:jc w:val="center"/>
                      </w:pPr>
                      <w:r>
                        <w:rPr>
                          <w:noProof/>
                        </w:rPr>
                        <w:drawing>
                          <wp:inline distT="0" distB="0" distL="0" distR="0" wp14:anchorId="6E2E4D22" wp14:editId="5F655EDB">
                            <wp:extent cx="6886255" cy="3384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etVolatilityChartPackQ12020INV3_012.png"/>
                                    <pic:cNvPicPr/>
                                  </pic:nvPicPr>
                                  <pic:blipFill rotWithShape="1">
                                    <a:blip r:embed="rId13">
                                      <a:extLst>
                                        <a:ext uri="{28A0092B-C50C-407E-A947-70E740481C1C}">
                                          <a14:useLocalDpi xmlns:a14="http://schemas.microsoft.com/office/drawing/2010/main" val="0"/>
                                        </a:ext>
                                      </a:extLst>
                                    </a:blip>
                                    <a:srcRect l="3661" t="7128" r="8208" b="15866"/>
                                    <a:stretch/>
                                  </pic:blipFill>
                                  <pic:spPr bwMode="auto">
                                    <a:xfrm>
                                      <a:off x="0" y="0"/>
                                      <a:ext cx="6894719" cy="338871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45F4B436" w14:textId="77777777" w:rsidR="00785345" w:rsidRDefault="00785345" w:rsidP="00785345"/>
    <w:p w14:paraId="57B24A11" w14:textId="77777777" w:rsidR="00785345" w:rsidRDefault="00785345" w:rsidP="00785345"/>
    <w:p w14:paraId="6DD04ED5" w14:textId="77777777" w:rsidR="00785345" w:rsidRDefault="00785345" w:rsidP="00785345"/>
    <w:p w14:paraId="6B6D275B" w14:textId="77777777" w:rsidR="00785345" w:rsidRDefault="00785345" w:rsidP="00785345"/>
    <w:p w14:paraId="558BB024" w14:textId="77777777" w:rsidR="00785345" w:rsidRDefault="00785345" w:rsidP="00785345"/>
    <w:p w14:paraId="6AF12613" w14:textId="77777777" w:rsidR="00785345" w:rsidRDefault="00785345" w:rsidP="00785345"/>
    <w:p w14:paraId="404E8E4E" w14:textId="77777777" w:rsidR="00785345" w:rsidRDefault="00785345" w:rsidP="00785345"/>
    <w:p w14:paraId="20B6134A" w14:textId="77777777" w:rsidR="00785345" w:rsidRDefault="00785345" w:rsidP="00785345"/>
    <w:p w14:paraId="040EC644" w14:textId="77777777" w:rsidR="00785345" w:rsidRDefault="00785345" w:rsidP="00785345"/>
    <w:p w14:paraId="45D8E403" w14:textId="77777777" w:rsidR="00785345" w:rsidRDefault="00785345" w:rsidP="00785345">
      <w:r>
        <w:rPr>
          <w:noProof/>
          <w:lang w:val="en-US"/>
        </w:rPr>
        <mc:AlternateContent>
          <mc:Choice Requires="wps">
            <w:drawing>
              <wp:anchor distT="0" distB="0" distL="114300" distR="114300" simplePos="0" relativeHeight="251660288" behindDoc="0" locked="0" layoutInCell="1" allowOverlap="1" wp14:anchorId="768252E1" wp14:editId="7FBDE9D2">
                <wp:simplePos x="0" y="0"/>
                <wp:positionH relativeFrom="column">
                  <wp:posOffset>-603250</wp:posOffset>
                </wp:positionH>
                <wp:positionV relativeFrom="paragraph">
                  <wp:posOffset>135255</wp:posOffset>
                </wp:positionV>
                <wp:extent cx="7103892" cy="336550"/>
                <wp:effectExtent l="0" t="0" r="1905" b="6350"/>
                <wp:wrapNone/>
                <wp:docPr id="3" name="Text Box 3"/>
                <wp:cNvGraphicFramePr/>
                <a:graphic xmlns:a="http://schemas.openxmlformats.org/drawingml/2006/main">
                  <a:graphicData uri="http://schemas.microsoft.com/office/word/2010/wordprocessingShape">
                    <wps:wsp>
                      <wps:cNvSpPr txBox="1"/>
                      <wps:spPr>
                        <a:xfrm>
                          <a:off x="0" y="0"/>
                          <a:ext cx="7103892" cy="336550"/>
                        </a:xfrm>
                        <a:prstGeom prst="rect">
                          <a:avLst/>
                        </a:prstGeom>
                        <a:solidFill>
                          <a:sysClr val="window" lastClr="FFFFFF"/>
                        </a:solidFill>
                        <a:ln w="6350">
                          <a:noFill/>
                        </a:ln>
                      </wps:spPr>
                      <wps:txbx>
                        <w:txbxContent>
                          <w:p w14:paraId="44E5816B" w14:textId="2303D4BD" w:rsidR="00785345" w:rsidRPr="008E5D72" w:rsidRDefault="00785345" w:rsidP="00785345">
                            <w:pPr>
                              <w:rPr>
                                <w:sz w:val="20"/>
                                <w:szCs w:val="20"/>
                              </w:rPr>
                            </w:pPr>
                            <w:r>
                              <w:rPr>
                                <w:sz w:val="20"/>
                                <w:szCs w:val="20"/>
                              </w:rPr>
                              <w:t xml:space="preserve">      Source : Bloomberg, Placements CI</w:t>
                            </w:r>
                            <w:r w:rsidR="00C936C7">
                              <w:rPr>
                                <w:sz w:val="20"/>
                                <w:szCs w:val="20"/>
                              </w:rPr>
                              <w:t>.</w:t>
                            </w:r>
                            <w:r>
                              <w:rPr>
                                <w:sz w:val="20"/>
                                <w:szCs w:val="20"/>
                              </w:rPr>
                              <w:t xml:space="preserve"> Indice S&amp;P 500 RG ($ US), au 31 mars 2020, selon les rendements mensuels.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8252E1" id="Text Box 3" o:spid="_x0000_s1027" type="#_x0000_t202" style="position:absolute;margin-left:-47.5pt;margin-top:10.65pt;width:559.35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ZJTgIAAJEEAAAOAAAAZHJzL2Uyb0RvYy54bWysVMlu2zAQvRfoPxC8N/IWJzEsB64DFwWM&#10;JEBS5ExTlC2A4rAkbcn9+j5StrO0p6I6UMOZ0SzvzWh629aa7ZXzFZmc9y96nCkjqajMJuc/npdf&#10;rjnzQZhCaDIq5wfl+e3s86dpYydqQFvShXIMQYyfNDbn2xDsJMu83Kpa+AuyysBYkqtFwNVtssKJ&#10;BtFrnQ16vXHWkCusI6m8h/auM/JZil+WSoaHsvQqMJ1z1BbS6dK5jmc2m4rJxgm7reSxDPEPVdSi&#10;Mkh6DnUngmA7V/0Rqq6kI09luJBUZ1SWlVSpB3TT733o5mkrrEq9ABxvzzD5/xdW3u8fHauKnA85&#10;M6IGRc+qDewrtWwY0Wmsn8DpycIttFCD5ZPeQxmbbktXxzfaYbAD58MZ2xhMQnnV7w2vbwacSdiG&#10;w/HlZQI/e/3aOh++KapZFHLuwF2CVOxXPqASuJ5cYjJPuiqWldbpcvAL7dhegGZMR0ENZ1r4AGXO&#10;l+mJRSPEu8+0YU3Ox0PUEqMYivE6P23gHpvvmoxSaNdtguoMwJqKA3Bx1M2Vt3JZofgVMj8Kh0EC&#10;FFiO8ICj1IRcdJQ425L79Td99Ae/sHLWYDBz7n/uhFNo6LsB8zf90ShOcrqMLq8GuLi3lvVbi9nV&#10;CwIofayhlUmM/kGfxNJR/YIdmsesMAkjkTvn4SQuQrcu2EGp5vPkhNm1IqzMk5UxdMQuUvPcvghn&#10;j/wFMH9PpxEWkw80dr4d6vNdoLJKHEecO1SP8GPuE2/HHY2L9faevF7/JLPfAAAA//8DAFBLAwQU&#10;AAYACAAAACEAJ6t4ieMAAAAKAQAADwAAAGRycy9kb3ducmV2LnhtbEyPwU7DMBBE70j8g7VI3Fqn&#10;CVAI2VQIgaASUduAxNWNlyQQ25HtNmm/HvcEx9GMZt5ki1F1bE/WtUYjzKYRMNKVka2uET7enye3&#10;wJwXWorOaEI4kINFfn6WiVSaQW9oX/qahRLtUoHQeN+nnLuqISXc1PSkg/dlrBI+SFtzacUQylXH&#10;4yi64Uq0Oiw0oqfHhqqfcqcQPofyxa6Wy+91/1ocV8eyeKOnAvHyYny4B+Zp9H9hOOEHdMgD09bs&#10;tHSsQ5jcXYcvHiGeJcBOgShO5sC2CPOrBHie8f8X8l8AAAD//wMAUEsBAi0AFAAGAAgAAAAhALaD&#10;OJL+AAAA4QEAABMAAAAAAAAAAAAAAAAAAAAAAFtDb250ZW50X1R5cGVzXS54bWxQSwECLQAUAAYA&#10;CAAAACEAOP0h/9YAAACUAQAACwAAAAAAAAAAAAAAAAAvAQAAX3JlbHMvLnJlbHNQSwECLQAUAAYA&#10;CAAAACEAQ9cmSU4CAACRBAAADgAAAAAAAAAAAAAAAAAuAgAAZHJzL2Uyb0RvYy54bWxQSwECLQAU&#10;AAYACAAAACEAJ6t4ieMAAAAKAQAADwAAAAAAAAAAAAAAAACoBAAAZHJzL2Rvd25yZXYueG1sUEsF&#10;BgAAAAAEAAQA8wAAALgFAAAAAA==&#10;" fillcolor="window" stroked="f" strokeweight=".5pt">
                <v:textbox>
                  <w:txbxContent>
                    <w:p w14:paraId="44E5816B" w14:textId="2303D4BD" w:rsidR="00785345" w:rsidRPr="008E5D72" w:rsidRDefault="00785345" w:rsidP="00785345">
                      <w:pPr>
                        <w:rPr>
                          <w:sz w:val="20"/>
                          <w:szCs w:val="20"/>
                        </w:rPr>
                      </w:pPr>
                      <w:r>
                        <w:rPr>
                          <w:sz w:val="20"/>
                          <w:szCs w:val="20"/>
                        </w:rPr>
                        <w:t xml:space="preserve">      Source : Bloomberg, Placements CI</w:t>
                      </w:r>
                      <w:r w:rsidR="00C936C7">
                        <w:rPr>
                          <w:sz w:val="20"/>
                          <w:szCs w:val="20"/>
                        </w:rPr>
                        <w:t>.</w:t>
                      </w:r>
                      <w:r>
                        <w:rPr>
                          <w:sz w:val="20"/>
                          <w:szCs w:val="20"/>
                        </w:rPr>
                        <w:t xml:space="preserve"> Indice S&amp;P 500 RG ($ US), au 31 mars 2020, selon les rendements mensuels.</w:t>
                      </w:r>
                    </w:p>
                  </w:txbxContent>
                </v:textbox>
              </v:shape>
            </w:pict>
          </mc:Fallback>
        </mc:AlternateContent>
      </w:r>
    </w:p>
    <w:p w14:paraId="7C05FAF7" w14:textId="77777777" w:rsidR="00785345" w:rsidRDefault="00785345" w:rsidP="00785345"/>
    <w:p w14:paraId="0C79D6C3" w14:textId="77777777" w:rsidR="00785345" w:rsidRDefault="00785345" w:rsidP="00785345">
      <w:r>
        <w:t>Comme toujours, je reste à votre disposition pour discuter de votre plan d’investissement. Pour toute question ou préoccupation concernant votre portefeuille, n’hésitez pas à communiquer avec moi par téléphone, au xxx xxx-</w:t>
      </w:r>
      <w:proofErr w:type="spellStart"/>
      <w:r>
        <w:t>xxxx</w:t>
      </w:r>
      <w:proofErr w:type="spellEnd"/>
      <w:r>
        <w:t>.</w:t>
      </w:r>
    </w:p>
    <w:p w14:paraId="3930A239" w14:textId="77777777" w:rsidR="00785345" w:rsidRDefault="00785345" w:rsidP="00785345"/>
    <w:p w14:paraId="19CC4511" w14:textId="76F724E2" w:rsidR="00785345" w:rsidRPr="006A3491" w:rsidRDefault="00785345" w:rsidP="00785345">
      <w:r>
        <w:t>Meilleures salutations,</w:t>
      </w:r>
    </w:p>
    <w:p w14:paraId="4C826748" w14:textId="77777777" w:rsidR="00785345" w:rsidRDefault="00785345" w:rsidP="00785345">
      <w:pPr>
        <w:rPr>
          <w:b/>
          <w:bCs/>
          <w:sz w:val="20"/>
          <w:szCs w:val="20"/>
        </w:rPr>
      </w:pPr>
    </w:p>
    <w:p w14:paraId="41C10149" w14:textId="77777777" w:rsidR="00785345" w:rsidRDefault="00785345" w:rsidP="00785345">
      <w:pPr>
        <w:rPr>
          <w:b/>
          <w:bCs/>
          <w:sz w:val="20"/>
          <w:szCs w:val="20"/>
        </w:rPr>
      </w:pPr>
    </w:p>
    <w:p w14:paraId="245B15FA" w14:textId="77777777" w:rsidR="00785345" w:rsidRDefault="00785345" w:rsidP="00785345">
      <w:pPr>
        <w:rPr>
          <w:b/>
          <w:bCs/>
          <w:sz w:val="20"/>
          <w:szCs w:val="20"/>
        </w:rPr>
      </w:pPr>
      <w:r>
        <w:rPr>
          <w:b/>
          <w:bCs/>
          <w:sz w:val="20"/>
          <w:szCs w:val="20"/>
        </w:rPr>
        <w:t>Nom du conseiller financier</w:t>
      </w:r>
    </w:p>
    <w:p w14:paraId="5566E419" w14:textId="77777777" w:rsidR="00785345" w:rsidRDefault="00785345" w:rsidP="00785345">
      <w:pPr>
        <w:rPr>
          <w:b/>
          <w:bCs/>
          <w:sz w:val="20"/>
          <w:szCs w:val="20"/>
        </w:rPr>
      </w:pPr>
    </w:p>
    <w:p w14:paraId="67496979" w14:textId="32D9BF0E" w:rsidR="00785345" w:rsidRPr="00487FB7" w:rsidRDefault="00785345" w:rsidP="00785345">
      <w:pPr>
        <w:rPr>
          <w:sz w:val="20"/>
          <w:szCs w:val="20"/>
        </w:rPr>
      </w:pPr>
      <w:bookmarkStart w:id="4" w:name="_Hlk37920981"/>
      <w:bookmarkStart w:id="5" w:name="_Hlk42092970"/>
      <w:r w:rsidRPr="00487FB7">
        <w:rPr>
          <w:sz w:val="20"/>
          <w:szCs w:val="20"/>
        </w:rPr>
        <w:t xml:space="preserve">Sources : </w:t>
      </w:r>
      <w:r w:rsidR="00487FB7" w:rsidRPr="00487FB7">
        <w:rPr>
          <w:sz w:val="20"/>
          <w:szCs w:val="20"/>
        </w:rPr>
        <w:t>Placements CI</w:t>
      </w:r>
      <w:r w:rsidR="00487FB7">
        <w:rPr>
          <w:sz w:val="20"/>
          <w:szCs w:val="20"/>
        </w:rPr>
        <w:t>,</w:t>
      </w:r>
      <w:r w:rsidRPr="00487FB7">
        <w:rPr>
          <w:sz w:val="20"/>
          <w:szCs w:val="20"/>
        </w:rPr>
        <w:t xml:space="preserve"> marketwatch.com, fxstreet.com, theglobeandmail.com, </w:t>
      </w:r>
      <w:bookmarkEnd w:id="4"/>
      <w:r w:rsidRPr="00487FB7">
        <w:rPr>
          <w:sz w:val="20"/>
          <w:szCs w:val="20"/>
        </w:rPr>
        <w:t xml:space="preserve">fitchratings.com, </w:t>
      </w:r>
      <w:bookmarkEnd w:id="5"/>
      <w:r w:rsidRPr="00487FB7">
        <w:rPr>
          <w:sz w:val="20"/>
          <w:szCs w:val="20"/>
        </w:rPr>
        <w:t>bostonglobe.com, et forbes.com.</w:t>
      </w:r>
    </w:p>
    <w:p w14:paraId="40E25532" w14:textId="77777777" w:rsidR="00C46D49" w:rsidRPr="00487FB7" w:rsidRDefault="00C46D49" w:rsidP="00113AF3">
      <w:pPr>
        <w:rPr>
          <w:b/>
          <w:bCs/>
          <w:sz w:val="20"/>
          <w:szCs w:val="20"/>
        </w:rPr>
      </w:pPr>
    </w:p>
    <w:p w14:paraId="5BB7D819" w14:textId="411E424D" w:rsidR="00113AF3" w:rsidRPr="0001110E" w:rsidRDefault="00113AF3" w:rsidP="00113AF3">
      <w:pPr>
        <w:rPr>
          <w:b/>
          <w:bCs/>
          <w:sz w:val="20"/>
          <w:szCs w:val="20"/>
        </w:rPr>
      </w:pPr>
      <w:r>
        <w:rPr>
          <w:b/>
          <w:bCs/>
          <w:sz w:val="20"/>
          <w:szCs w:val="20"/>
        </w:rPr>
        <w:t xml:space="preserve">RENSEIGNEMENTS IMPORTANTS </w:t>
      </w:r>
    </w:p>
    <w:p w14:paraId="36EA1DA9" w14:textId="77777777" w:rsidR="00113AF3" w:rsidRPr="00B361E5" w:rsidRDefault="00113AF3" w:rsidP="00113AF3">
      <w:pPr>
        <w:rPr>
          <w:sz w:val="20"/>
          <w:szCs w:val="20"/>
        </w:rPr>
      </w:pPr>
      <w:r>
        <w:rPr>
          <w:sz w:val="20"/>
          <w:szCs w:val="20"/>
        </w:rPr>
        <w:t>Le présent document est fourni à titre d’information générale et peut faire l’objet de changements sans préavis. Bien que tous les efforts aient été déployés afin de veiller à ce que les renseignements contenus dans ce document proviennent de sources fiables, nous ne pouvons en garantir l’exactitude ni l’exhaustivité. Avant de prendre toute décision liée au contenu de la présente lettre, communiquez avec un conseiller professionnel qui vous fournira des conseils en fonction de votre situation particulière.</w:t>
      </w:r>
    </w:p>
    <w:p w14:paraId="06B930C5" w14:textId="77DF8820" w:rsidR="004A171B" w:rsidRPr="0001110E" w:rsidRDefault="009214D3" w:rsidP="00113AF3">
      <w:pPr>
        <w:rPr>
          <w:sz w:val="20"/>
          <w:szCs w:val="20"/>
        </w:rPr>
      </w:pPr>
      <w:r>
        <w:rPr>
          <w:i/>
          <w:iCs/>
          <w:color w:val="FF0000"/>
        </w:rPr>
        <w:lastRenderedPageBreak/>
        <w:t xml:space="preserve">Les conseillers de GCA devront inclure l’avis de l’OCRCVM et </w:t>
      </w:r>
      <w:r w:rsidR="00C936C7">
        <w:rPr>
          <w:i/>
          <w:iCs/>
          <w:color w:val="FF0000"/>
        </w:rPr>
        <w:t xml:space="preserve">du FCPE </w:t>
      </w:r>
      <w:r>
        <w:rPr>
          <w:i/>
          <w:iCs/>
          <w:color w:val="FF0000"/>
        </w:rPr>
        <w:t>dans leur courriel (déjà indiquée sur l’en-tête GCA):</w:t>
      </w:r>
      <w:r>
        <w:rPr>
          <w:i/>
          <w:iCs/>
        </w:rPr>
        <w:t xml:space="preserve"> </w:t>
      </w:r>
      <w:r>
        <w:t xml:space="preserve">Gestion de capital Assante </w:t>
      </w:r>
      <w:proofErr w:type="spellStart"/>
      <w:r>
        <w:t>ltée</w:t>
      </w:r>
      <w:proofErr w:type="spellEnd"/>
      <w:r>
        <w:t xml:space="preserve"> est un membre du Fonds canadien de protection des </w:t>
      </w:r>
      <w:bookmarkStart w:id="6" w:name="_GoBack"/>
      <w:bookmarkEnd w:id="6"/>
      <w:r>
        <w:t>épargnants et de l'Organisme canadien de réglementation du commerce des valeurs mobilières.</w:t>
      </w:r>
    </w:p>
    <w:sectPr w:rsidR="004A171B" w:rsidRPr="000111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A0DFC" w14:textId="77777777" w:rsidR="00D750EA" w:rsidRDefault="00D750EA" w:rsidP="00425531">
      <w:pPr>
        <w:spacing w:after="0" w:line="240" w:lineRule="auto"/>
      </w:pPr>
      <w:r>
        <w:separator/>
      </w:r>
    </w:p>
  </w:endnote>
  <w:endnote w:type="continuationSeparator" w:id="0">
    <w:p w14:paraId="6CAC6A3C" w14:textId="77777777" w:rsidR="00D750EA" w:rsidRDefault="00D750EA" w:rsidP="0042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9136E" w14:textId="77777777" w:rsidR="00D750EA" w:rsidRDefault="00D750EA" w:rsidP="00425531">
      <w:pPr>
        <w:spacing w:after="0" w:line="240" w:lineRule="auto"/>
      </w:pPr>
      <w:r>
        <w:separator/>
      </w:r>
    </w:p>
  </w:footnote>
  <w:footnote w:type="continuationSeparator" w:id="0">
    <w:p w14:paraId="19F11B1E" w14:textId="77777777" w:rsidR="00D750EA" w:rsidRDefault="00D750EA" w:rsidP="004255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F3EF4"/>
    <w:multiLevelType w:val="hybridMultilevel"/>
    <w:tmpl w:val="6910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31"/>
    <w:rsid w:val="000033A4"/>
    <w:rsid w:val="00007D46"/>
    <w:rsid w:val="0001110E"/>
    <w:rsid w:val="0001302C"/>
    <w:rsid w:val="00021894"/>
    <w:rsid w:val="00037576"/>
    <w:rsid w:val="000376CA"/>
    <w:rsid w:val="00046575"/>
    <w:rsid w:val="00053292"/>
    <w:rsid w:val="00066BAF"/>
    <w:rsid w:val="00073DAF"/>
    <w:rsid w:val="000A753F"/>
    <w:rsid w:val="000B1C8F"/>
    <w:rsid w:val="000B25EB"/>
    <w:rsid w:val="000B4AAD"/>
    <w:rsid w:val="000C2D9E"/>
    <w:rsid w:val="000D6821"/>
    <w:rsid w:val="000E0706"/>
    <w:rsid w:val="000E7EAC"/>
    <w:rsid w:val="000F152B"/>
    <w:rsid w:val="00105505"/>
    <w:rsid w:val="00113AF3"/>
    <w:rsid w:val="00146DD8"/>
    <w:rsid w:val="00157700"/>
    <w:rsid w:val="00166A44"/>
    <w:rsid w:val="00167081"/>
    <w:rsid w:val="00175F32"/>
    <w:rsid w:val="00177E8A"/>
    <w:rsid w:val="00180698"/>
    <w:rsid w:val="001A6170"/>
    <w:rsid w:val="001B09FF"/>
    <w:rsid w:val="001B2F05"/>
    <w:rsid w:val="001C77A6"/>
    <w:rsid w:val="001E6418"/>
    <w:rsid w:val="001F1844"/>
    <w:rsid w:val="00211C44"/>
    <w:rsid w:val="00214E0F"/>
    <w:rsid w:val="0025781F"/>
    <w:rsid w:val="002709E9"/>
    <w:rsid w:val="00274DB6"/>
    <w:rsid w:val="00283712"/>
    <w:rsid w:val="00285245"/>
    <w:rsid w:val="002A13EA"/>
    <w:rsid w:val="002A5820"/>
    <w:rsid w:val="002B6F88"/>
    <w:rsid w:val="002D576C"/>
    <w:rsid w:val="002F0A75"/>
    <w:rsid w:val="003224E4"/>
    <w:rsid w:val="00323E59"/>
    <w:rsid w:val="00337263"/>
    <w:rsid w:val="00342D75"/>
    <w:rsid w:val="00352D0A"/>
    <w:rsid w:val="00366B01"/>
    <w:rsid w:val="00372888"/>
    <w:rsid w:val="003B12A9"/>
    <w:rsid w:val="003B2697"/>
    <w:rsid w:val="003C1137"/>
    <w:rsid w:val="003D3673"/>
    <w:rsid w:val="00413D8C"/>
    <w:rsid w:val="00421D88"/>
    <w:rsid w:val="00424258"/>
    <w:rsid w:val="004248C0"/>
    <w:rsid w:val="00425531"/>
    <w:rsid w:val="00430F2B"/>
    <w:rsid w:val="00463F28"/>
    <w:rsid w:val="00482C45"/>
    <w:rsid w:val="00485CEC"/>
    <w:rsid w:val="00485E23"/>
    <w:rsid w:val="00487FB7"/>
    <w:rsid w:val="00491962"/>
    <w:rsid w:val="004A171B"/>
    <w:rsid w:val="004B2BF3"/>
    <w:rsid w:val="004C0F4F"/>
    <w:rsid w:val="004D0CE1"/>
    <w:rsid w:val="004E6045"/>
    <w:rsid w:val="004F22CC"/>
    <w:rsid w:val="004F38B7"/>
    <w:rsid w:val="004F763D"/>
    <w:rsid w:val="005111BB"/>
    <w:rsid w:val="005209E6"/>
    <w:rsid w:val="005822C5"/>
    <w:rsid w:val="00592172"/>
    <w:rsid w:val="005A3ECF"/>
    <w:rsid w:val="005B48D6"/>
    <w:rsid w:val="005C2287"/>
    <w:rsid w:val="005D5EFA"/>
    <w:rsid w:val="005E718D"/>
    <w:rsid w:val="00601E6B"/>
    <w:rsid w:val="0061391C"/>
    <w:rsid w:val="00623AD8"/>
    <w:rsid w:val="006278D1"/>
    <w:rsid w:val="0064356A"/>
    <w:rsid w:val="0065067C"/>
    <w:rsid w:val="00666F1E"/>
    <w:rsid w:val="00672CB6"/>
    <w:rsid w:val="006805C7"/>
    <w:rsid w:val="006811D4"/>
    <w:rsid w:val="006840EC"/>
    <w:rsid w:val="00684FC9"/>
    <w:rsid w:val="006B23A8"/>
    <w:rsid w:val="006C0799"/>
    <w:rsid w:val="006C737E"/>
    <w:rsid w:val="006D5A55"/>
    <w:rsid w:val="006E2F96"/>
    <w:rsid w:val="006E3BBF"/>
    <w:rsid w:val="006F23EB"/>
    <w:rsid w:val="006F2BC2"/>
    <w:rsid w:val="007008B0"/>
    <w:rsid w:val="00707C02"/>
    <w:rsid w:val="00710D95"/>
    <w:rsid w:val="00715CA5"/>
    <w:rsid w:val="0073419B"/>
    <w:rsid w:val="00743980"/>
    <w:rsid w:val="00761666"/>
    <w:rsid w:val="00782E38"/>
    <w:rsid w:val="00785345"/>
    <w:rsid w:val="00791CAF"/>
    <w:rsid w:val="007B0027"/>
    <w:rsid w:val="007B6B31"/>
    <w:rsid w:val="007C5C09"/>
    <w:rsid w:val="007D67CC"/>
    <w:rsid w:val="00816F8D"/>
    <w:rsid w:val="00820E07"/>
    <w:rsid w:val="00825A7B"/>
    <w:rsid w:val="008273C1"/>
    <w:rsid w:val="00832DFB"/>
    <w:rsid w:val="00843630"/>
    <w:rsid w:val="0085497E"/>
    <w:rsid w:val="00862061"/>
    <w:rsid w:val="00883AAB"/>
    <w:rsid w:val="008907F2"/>
    <w:rsid w:val="00895A34"/>
    <w:rsid w:val="00896E40"/>
    <w:rsid w:val="008A40EB"/>
    <w:rsid w:val="008A617D"/>
    <w:rsid w:val="008A7CC8"/>
    <w:rsid w:val="008B06E2"/>
    <w:rsid w:val="008B2B93"/>
    <w:rsid w:val="008B6F7A"/>
    <w:rsid w:val="008D2699"/>
    <w:rsid w:val="008E3D0D"/>
    <w:rsid w:val="008F76E8"/>
    <w:rsid w:val="00902D81"/>
    <w:rsid w:val="009044FE"/>
    <w:rsid w:val="009214D3"/>
    <w:rsid w:val="00923DB7"/>
    <w:rsid w:val="00936271"/>
    <w:rsid w:val="00936DE5"/>
    <w:rsid w:val="00937915"/>
    <w:rsid w:val="009458AE"/>
    <w:rsid w:val="00945D6B"/>
    <w:rsid w:val="00946549"/>
    <w:rsid w:val="00961539"/>
    <w:rsid w:val="00971C9E"/>
    <w:rsid w:val="00975110"/>
    <w:rsid w:val="00977213"/>
    <w:rsid w:val="00986848"/>
    <w:rsid w:val="0098716E"/>
    <w:rsid w:val="009A1F6E"/>
    <w:rsid w:val="009A7A35"/>
    <w:rsid w:val="009B30FE"/>
    <w:rsid w:val="009D0046"/>
    <w:rsid w:val="009D68C5"/>
    <w:rsid w:val="009F452D"/>
    <w:rsid w:val="00A11024"/>
    <w:rsid w:val="00A23D81"/>
    <w:rsid w:val="00A42C15"/>
    <w:rsid w:val="00A56DB8"/>
    <w:rsid w:val="00A6634A"/>
    <w:rsid w:val="00A96C0A"/>
    <w:rsid w:val="00A97FA8"/>
    <w:rsid w:val="00AA23ED"/>
    <w:rsid w:val="00AB6C81"/>
    <w:rsid w:val="00AC1105"/>
    <w:rsid w:val="00AC18D4"/>
    <w:rsid w:val="00AC541D"/>
    <w:rsid w:val="00AD5FE7"/>
    <w:rsid w:val="00AE77B0"/>
    <w:rsid w:val="00AF5422"/>
    <w:rsid w:val="00B05072"/>
    <w:rsid w:val="00B13687"/>
    <w:rsid w:val="00B27D2E"/>
    <w:rsid w:val="00B328E0"/>
    <w:rsid w:val="00B4360F"/>
    <w:rsid w:val="00B52D68"/>
    <w:rsid w:val="00B83AE7"/>
    <w:rsid w:val="00BA4751"/>
    <w:rsid w:val="00BB1895"/>
    <w:rsid w:val="00BB7550"/>
    <w:rsid w:val="00BC1103"/>
    <w:rsid w:val="00BD75BA"/>
    <w:rsid w:val="00BE69EE"/>
    <w:rsid w:val="00BF3134"/>
    <w:rsid w:val="00C214D6"/>
    <w:rsid w:val="00C41057"/>
    <w:rsid w:val="00C46D49"/>
    <w:rsid w:val="00C755B4"/>
    <w:rsid w:val="00C8604F"/>
    <w:rsid w:val="00C87536"/>
    <w:rsid w:val="00C936C7"/>
    <w:rsid w:val="00CA2A65"/>
    <w:rsid w:val="00CC046C"/>
    <w:rsid w:val="00D020ED"/>
    <w:rsid w:val="00D159FE"/>
    <w:rsid w:val="00D17697"/>
    <w:rsid w:val="00D313C5"/>
    <w:rsid w:val="00D47424"/>
    <w:rsid w:val="00D750EA"/>
    <w:rsid w:val="00D75B27"/>
    <w:rsid w:val="00D956DB"/>
    <w:rsid w:val="00DB3F52"/>
    <w:rsid w:val="00DB7F9B"/>
    <w:rsid w:val="00DC184C"/>
    <w:rsid w:val="00DC6021"/>
    <w:rsid w:val="00DE57DD"/>
    <w:rsid w:val="00DF4FEF"/>
    <w:rsid w:val="00E0182C"/>
    <w:rsid w:val="00E12E47"/>
    <w:rsid w:val="00E14DAE"/>
    <w:rsid w:val="00E35810"/>
    <w:rsid w:val="00E41BAE"/>
    <w:rsid w:val="00E55723"/>
    <w:rsid w:val="00E63B26"/>
    <w:rsid w:val="00E72FFC"/>
    <w:rsid w:val="00E766B3"/>
    <w:rsid w:val="00E8376B"/>
    <w:rsid w:val="00EA3E23"/>
    <w:rsid w:val="00F03709"/>
    <w:rsid w:val="00F06B6B"/>
    <w:rsid w:val="00F4074A"/>
    <w:rsid w:val="00F41528"/>
    <w:rsid w:val="00F55D2A"/>
    <w:rsid w:val="00F64A27"/>
    <w:rsid w:val="00F71CB1"/>
    <w:rsid w:val="00F8111C"/>
    <w:rsid w:val="00F90D52"/>
    <w:rsid w:val="00FB180D"/>
    <w:rsid w:val="00FB2C5E"/>
    <w:rsid w:val="00FD18B6"/>
    <w:rsid w:val="00FE0EC9"/>
    <w:rsid w:val="00FE558C"/>
    <w:rsid w:val="00FF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531"/>
    <w:rPr>
      <w:lang w:val="fr-CA"/>
    </w:rPr>
  </w:style>
  <w:style w:type="paragraph" w:styleId="Footer">
    <w:name w:val="footer"/>
    <w:basedOn w:val="Normal"/>
    <w:link w:val="FooterChar"/>
    <w:uiPriority w:val="99"/>
    <w:unhideWhenUsed/>
    <w:rsid w:val="00425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531"/>
    <w:rPr>
      <w:lang w:val="fr-CA"/>
    </w:rPr>
  </w:style>
  <w:style w:type="paragraph" w:styleId="BalloonText">
    <w:name w:val="Balloon Text"/>
    <w:basedOn w:val="Normal"/>
    <w:link w:val="BalloonTextChar"/>
    <w:uiPriority w:val="99"/>
    <w:semiHidden/>
    <w:unhideWhenUsed/>
    <w:rsid w:val="00270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9E9"/>
    <w:rPr>
      <w:rFonts w:ascii="Segoe UI" w:hAnsi="Segoe UI" w:cs="Segoe UI"/>
      <w:sz w:val="18"/>
      <w:szCs w:val="18"/>
      <w:lang w:val="fr-CA"/>
    </w:rPr>
  </w:style>
  <w:style w:type="paragraph" w:styleId="ListParagraph">
    <w:name w:val="List Paragraph"/>
    <w:basedOn w:val="Normal"/>
    <w:uiPriority w:val="34"/>
    <w:qFormat/>
    <w:rsid w:val="00DB3F52"/>
    <w:pPr>
      <w:ind w:left="720"/>
      <w:contextualSpacing/>
    </w:pPr>
  </w:style>
  <w:style w:type="character" w:styleId="Hyperlink">
    <w:name w:val="Hyperlink"/>
    <w:basedOn w:val="DefaultParagraphFont"/>
    <w:uiPriority w:val="99"/>
    <w:unhideWhenUsed/>
    <w:rsid w:val="00B13687"/>
    <w:rPr>
      <w:color w:val="0563C1" w:themeColor="hyperlink"/>
      <w:u w:val="single"/>
    </w:rPr>
  </w:style>
  <w:style w:type="character" w:customStyle="1" w:styleId="UnresolvedMention">
    <w:name w:val="Unresolved Mention"/>
    <w:basedOn w:val="DefaultParagraphFont"/>
    <w:uiPriority w:val="99"/>
    <w:semiHidden/>
    <w:unhideWhenUsed/>
    <w:rsid w:val="00B13687"/>
    <w:rPr>
      <w:color w:val="605E5C"/>
      <w:shd w:val="clear" w:color="auto" w:fill="E1DFDD"/>
    </w:rPr>
  </w:style>
  <w:style w:type="character" w:styleId="CommentReference">
    <w:name w:val="annotation reference"/>
    <w:basedOn w:val="DefaultParagraphFont"/>
    <w:uiPriority w:val="99"/>
    <w:semiHidden/>
    <w:unhideWhenUsed/>
    <w:rsid w:val="00C936C7"/>
    <w:rPr>
      <w:sz w:val="16"/>
      <w:szCs w:val="16"/>
    </w:rPr>
  </w:style>
  <w:style w:type="paragraph" w:styleId="CommentText">
    <w:name w:val="annotation text"/>
    <w:basedOn w:val="Normal"/>
    <w:link w:val="CommentTextChar"/>
    <w:uiPriority w:val="99"/>
    <w:semiHidden/>
    <w:unhideWhenUsed/>
    <w:rsid w:val="00C936C7"/>
    <w:pPr>
      <w:spacing w:line="240" w:lineRule="auto"/>
    </w:pPr>
    <w:rPr>
      <w:sz w:val="20"/>
      <w:szCs w:val="20"/>
    </w:rPr>
  </w:style>
  <w:style w:type="character" w:customStyle="1" w:styleId="CommentTextChar">
    <w:name w:val="Comment Text Char"/>
    <w:basedOn w:val="DefaultParagraphFont"/>
    <w:link w:val="CommentText"/>
    <w:uiPriority w:val="99"/>
    <w:semiHidden/>
    <w:rsid w:val="00C936C7"/>
    <w:rPr>
      <w:sz w:val="20"/>
      <w:szCs w:val="20"/>
    </w:rPr>
  </w:style>
  <w:style w:type="paragraph" w:styleId="CommentSubject">
    <w:name w:val="annotation subject"/>
    <w:basedOn w:val="CommentText"/>
    <w:next w:val="CommentText"/>
    <w:link w:val="CommentSubjectChar"/>
    <w:uiPriority w:val="99"/>
    <w:semiHidden/>
    <w:unhideWhenUsed/>
    <w:rsid w:val="00C936C7"/>
    <w:rPr>
      <w:b/>
      <w:bCs/>
    </w:rPr>
  </w:style>
  <w:style w:type="character" w:customStyle="1" w:styleId="CommentSubjectChar">
    <w:name w:val="Comment Subject Char"/>
    <w:basedOn w:val="CommentTextChar"/>
    <w:link w:val="CommentSubject"/>
    <w:uiPriority w:val="99"/>
    <w:semiHidden/>
    <w:rsid w:val="00C936C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531"/>
    <w:rPr>
      <w:lang w:val="fr-CA"/>
    </w:rPr>
  </w:style>
  <w:style w:type="paragraph" w:styleId="Footer">
    <w:name w:val="footer"/>
    <w:basedOn w:val="Normal"/>
    <w:link w:val="FooterChar"/>
    <w:uiPriority w:val="99"/>
    <w:unhideWhenUsed/>
    <w:rsid w:val="00425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531"/>
    <w:rPr>
      <w:lang w:val="fr-CA"/>
    </w:rPr>
  </w:style>
  <w:style w:type="paragraph" w:styleId="BalloonText">
    <w:name w:val="Balloon Text"/>
    <w:basedOn w:val="Normal"/>
    <w:link w:val="BalloonTextChar"/>
    <w:uiPriority w:val="99"/>
    <w:semiHidden/>
    <w:unhideWhenUsed/>
    <w:rsid w:val="00270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9E9"/>
    <w:rPr>
      <w:rFonts w:ascii="Segoe UI" w:hAnsi="Segoe UI" w:cs="Segoe UI"/>
      <w:sz w:val="18"/>
      <w:szCs w:val="18"/>
      <w:lang w:val="fr-CA"/>
    </w:rPr>
  </w:style>
  <w:style w:type="paragraph" w:styleId="ListParagraph">
    <w:name w:val="List Paragraph"/>
    <w:basedOn w:val="Normal"/>
    <w:uiPriority w:val="34"/>
    <w:qFormat/>
    <w:rsid w:val="00DB3F52"/>
    <w:pPr>
      <w:ind w:left="720"/>
      <w:contextualSpacing/>
    </w:pPr>
  </w:style>
  <w:style w:type="character" w:styleId="Hyperlink">
    <w:name w:val="Hyperlink"/>
    <w:basedOn w:val="DefaultParagraphFont"/>
    <w:uiPriority w:val="99"/>
    <w:unhideWhenUsed/>
    <w:rsid w:val="00B13687"/>
    <w:rPr>
      <w:color w:val="0563C1" w:themeColor="hyperlink"/>
      <w:u w:val="single"/>
    </w:rPr>
  </w:style>
  <w:style w:type="character" w:customStyle="1" w:styleId="UnresolvedMention">
    <w:name w:val="Unresolved Mention"/>
    <w:basedOn w:val="DefaultParagraphFont"/>
    <w:uiPriority w:val="99"/>
    <w:semiHidden/>
    <w:unhideWhenUsed/>
    <w:rsid w:val="00B13687"/>
    <w:rPr>
      <w:color w:val="605E5C"/>
      <w:shd w:val="clear" w:color="auto" w:fill="E1DFDD"/>
    </w:rPr>
  </w:style>
  <w:style w:type="character" w:styleId="CommentReference">
    <w:name w:val="annotation reference"/>
    <w:basedOn w:val="DefaultParagraphFont"/>
    <w:uiPriority w:val="99"/>
    <w:semiHidden/>
    <w:unhideWhenUsed/>
    <w:rsid w:val="00C936C7"/>
    <w:rPr>
      <w:sz w:val="16"/>
      <w:szCs w:val="16"/>
    </w:rPr>
  </w:style>
  <w:style w:type="paragraph" w:styleId="CommentText">
    <w:name w:val="annotation text"/>
    <w:basedOn w:val="Normal"/>
    <w:link w:val="CommentTextChar"/>
    <w:uiPriority w:val="99"/>
    <w:semiHidden/>
    <w:unhideWhenUsed/>
    <w:rsid w:val="00C936C7"/>
    <w:pPr>
      <w:spacing w:line="240" w:lineRule="auto"/>
    </w:pPr>
    <w:rPr>
      <w:sz w:val="20"/>
      <w:szCs w:val="20"/>
    </w:rPr>
  </w:style>
  <w:style w:type="character" w:customStyle="1" w:styleId="CommentTextChar">
    <w:name w:val="Comment Text Char"/>
    <w:basedOn w:val="DefaultParagraphFont"/>
    <w:link w:val="CommentText"/>
    <w:uiPriority w:val="99"/>
    <w:semiHidden/>
    <w:rsid w:val="00C936C7"/>
    <w:rPr>
      <w:sz w:val="20"/>
      <w:szCs w:val="20"/>
    </w:rPr>
  </w:style>
  <w:style w:type="paragraph" w:styleId="CommentSubject">
    <w:name w:val="annotation subject"/>
    <w:basedOn w:val="CommentText"/>
    <w:next w:val="CommentText"/>
    <w:link w:val="CommentSubjectChar"/>
    <w:uiPriority w:val="99"/>
    <w:semiHidden/>
    <w:unhideWhenUsed/>
    <w:rsid w:val="00C936C7"/>
    <w:rPr>
      <w:b/>
      <w:bCs/>
    </w:rPr>
  </w:style>
  <w:style w:type="character" w:customStyle="1" w:styleId="CommentSubjectChar">
    <w:name w:val="Comment Subject Char"/>
    <w:basedOn w:val="CommentTextChar"/>
    <w:link w:val="CommentSubject"/>
    <w:uiPriority w:val="99"/>
    <w:semiHidden/>
    <w:rsid w:val="00C936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4248">
      <w:bodyDiv w:val="1"/>
      <w:marLeft w:val="0"/>
      <w:marRight w:val="0"/>
      <w:marTop w:val="0"/>
      <w:marBottom w:val="0"/>
      <w:divBdr>
        <w:top w:val="none" w:sz="0" w:space="0" w:color="auto"/>
        <w:left w:val="none" w:sz="0" w:space="0" w:color="auto"/>
        <w:bottom w:val="none" w:sz="0" w:space="0" w:color="auto"/>
        <w:right w:val="none" w:sz="0" w:space="0" w:color="auto"/>
      </w:divBdr>
    </w:div>
    <w:div w:id="348801111">
      <w:bodyDiv w:val="1"/>
      <w:marLeft w:val="0"/>
      <w:marRight w:val="0"/>
      <w:marTop w:val="0"/>
      <w:marBottom w:val="0"/>
      <w:divBdr>
        <w:top w:val="none" w:sz="0" w:space="0" w:color="auto"/>
        <w:left w:val="none" w:sz="0" w:space="0" w:color="auto"/>
        <w:bottom w:val="none" w:sz="0" w:space="0" w:color="auto"/>
        <w:right w:val="none" w:sz="0" w:space="0" w:color="auto"/>
      </w:divBdr>
    </w:div>
    <w:div w:id="472330828">
      <w:bodyDiv w:val="1"/>
      <w:marLeft w:val="0"/>
      <w:marRight w:val="0"/>
      <w:marTop w:val="0"/>
      <w:marBottom w:val="0"/>
      <w:divBdr>
        <w:top w:val="none" w:sz="0" w:space="0" w:color="auto"/>
        <w:left w:val="none" w:sz="0" w:space="0" w:color="auto"/>
        <w:bottom w:val="none" w:sz="0" w:space="0" w:color="auto"/>
        <w:right w:val="none" w:sz="0" w:space="0" w:color="auto"/>
      </w:divBdr>
    </w:div>
    <w:div w:id="516121747">
      <w:bodyDiv w:val="1"/>
      <w:marLeft w:val="0"/>
      <w:marRight w:val="0"/>
      <w:marTop w:val="0"/>
      <w:marBottom w:val="0"/>
      <w:divBdr>
        <w:top w:val="none" w:sz="0" w:space="0" w:color="auto"/>
        <w:left w:val="none" w:sz="0" w:space="0" w:color="auto"/>
        <w:bottom w:val="none" w:sz="0" w:space="0" w:color="auto"/>
        <w:right w:val="none" w:sz="0" w:space="0" w:color="auto"/>
      </w:divBdr>
    </w:div>
    <w:div w:id="854080935">
      <w:bodyDiv w:val="1"/>
      <w:marLeft w:val="0"/>
      <w:marRight w:val="0"/>
      <w:marTop w:val="0"/>
      <w:marBottom w:val="0"/>
      <w:divBdr>
        <w:top w:val="none" w:sz="0" w:space="0" w:color="auto"/>
        <w:left w:val="none" w:sz="0" w:space="0" w:color="auto"/>
        <w:bottom w:val="none" w:sz="0" w:space="0" w:color="auto"/>
        <w:right w:val="none" w:sz="0" w:space="0" w:color="auto"/>
      </w:divBdr>
    </w:div>
    <w:div w:id="1120220893">
      <w:bodyDiv w:val="1"/>
      <w:marLeft w:val="0"/>
      <w:marRight w:val="0"/>
      <w:marTop w:val="0"/>
      <w:marBottom w:val="0"/>
      <w:divBdr>
        <w:top w:val="none" w:sz="0" w:space="0" w:color="auto"/>
        <w:left w:val="none" w:sz="0" w:space="0" w:color="auto"/>
        <w:bottom w:val="none" w:sz="0" w:space="0" w:color="auto"/>
        <w:right w:val="none" w:sz="0" w:space="0" w:color="auto"/>
      </w:divBdr>
    </w:div>
    <w:div w:id="199472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12B198DD7DF4D80F496DA6D84AAC8" ma:contentTypeVersion="12" ma:contentTypeDescription="Create a new document." ma:contentTypeScope="" ma:versionID="891afee02c6c64ef3ea05f535c8cc2ec">
  <xsd:schema xmlns:xsd="http://www.w3.org/2001/XMLSchema" xmlns:xs="http://www.w3.org/2001/XMLSchema" xmlns:p="http://schemas.microsoft.com/office/2006/metadata/properties" xmlns:ns2="17b4ee08-9a8d-4665-a80a-94a1ccbf2c1f" xmlns:ns3="cb441f90-d298-49d6-9136-7291e9c00500" targetNamespace="http://schemas.microsoft.com/office/2006/metadata/properties" ma:root="true" ma:fieldsID="19cd33ac671e8b0c8943a29d812d4b83" ns2:_="" ns3:_="">
    <xsd:import namespace="17b4ee08-9a8d-4665-a80a-94a1ccbf2c1f"/>
    <xsd:import namespace="cb441f90-d298-49d6-9136-7291e9c005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4ee08-9a8d-4665-a80a-94a1ccbf2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441f90-d298-49d6-9136-7291e9c005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3E3E4-1326-4805-9913-0DA6EA1F7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4ee08-9a8d-4665-a80a-94a1ccbf2c1f"/>
    <ds:schemaRef ds:uri="cb441f90-d298-49d6-9136-7291e9c00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39486-9159-402F-AEE5-3CA8479D3A13}">
  <ds:schemaRefs>
    <ds:schemaRef ds:uri="http://schemas.microsoft.com/sharepoint/v3/contenttype/forms"/>
  </ds:schemaRefs>
</ds:datastoreItem>
</file>

<file path=customXml/itemProps3.xml><?xml version="1.0" encoding="utf-8"?>
<ds:datastoreItem xmlns:ds="http://schemas.openxmlformats.org/officeDocument/2006/customXml" ds:itemID="{CAA32B99-09D6-4898-9F12-6044D3CBA6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0F9E6D-BF76-4021-8E55-EAF77379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HUB International</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Amato, Adam</dc:creator>
  <cp:lastModifiedBy>Damji, Aly</cp:lastModifiedBy>
  <cp:revision>2</cp:revision>
  <cp:lastPrinted>2020-03-12T16:47:00Z</cp:lastPrinted>
  <dcterms:created xsi:type="dcterms:W3CDTF">2020-06-26T18:02:00Z</dcterms:created>
  <dcterms:modified xsi:type="dcterms:W3CDTF">2020-06-26T18:02:00Z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0x010100A3912B198DD7DF4D80F496DA6D84AAC8</vt:lpwstr>
  </property>
</Properties>
</file>